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E5" w:rsidRPr="00CD33E5" w:rsidRDefault="00CD33E5" w:rsidP="00CD33E5">
      <w:r>
        <w:rPr>
          <w:b/>
        </w:rPr>
        <w:t>Тестовое</w:t>
      </w:r>
      <w:r w:rsidRPr="00CD33E5">
        <w:rPr>
          <w:b/>
        </w:rPr>
        <w:t xml:space="preserve"> </w:t>
      </w:r>
      <w:r>
        <w:rPr>
          <w:b/>
        </w:rPr>
        <w:t>задание</w:t>
      </w:r>
    </w:p>
    <w:p w:rsidR="00CD33E5" w:rsidRPr="00CD33E5" w:rsidRDefault="00CD33E5" w:rsidP="00CD33E5"/>
    <w:p w:rsidR="00CD33E5" w:rsidRPr="00CD33E5" w:rsidRDefault="00CD33E5" w:rsidP="00CD33E5">
      <w:proofErr w:type="gramStart"/>
      <w:r>
        <w:rPr>
          <w:lang w:val="en-US"/>
        </w:rPr>
        <w:t>a</w:t>
      </w:r>
      <w:proofErr w:type="gramEnd"/>
      <w:r w:rsidRPr="00CD33E5">
        <w:tab/>
      </w:r>
      <w:r>
        <w:t>Право</w:t>
      </w:r>
    </w:p>
    <w:p w:rsidR="00CD33E5" w:rsidRPr="00CD33E5" w:rsidRDefault="00CD33E5" w:rsidP="00CD33E5">
      <w:pPr>
        <w:ind w:left="720"/>
        <w:jc w:val="both"/>
      </w:pPr>
      <w:r>
        <w:t>С учетом</w:t>
      </w:r>
      <w:r w:rsidRPr="0081645B">
        <w:t xml:space="preserve"> </w:t>
      </w:r>
      <w:r>
        <w:t>нижеизложенных</w:t>
      </w:r>
      <w:r w:rsidRPr="0081645B">
        <w:t xml:space="preserve"> </w:t>
      </w:r>
      <w:r>
        <w:t>условий</w:t>
      </w:r>
      <w:r w:rsidRPr="0081645B">
        <w:t xml:space="preserve">, </w:t>
      </w:r>
      <w:r>
        <w:t>ограничений</w:t>
      </w:r>
      <w:r w:rsidRPr="0081645B">
        <w:t xml:space="preserve"> </w:t>
      </w:r>
      <w:r>
        <w:t>и</w:t>
      </w:r>
      <w:r w:rsidRPr="0081645B">
        <w:t xml:space="preserve"> </w:t>
      </w:r>
      <w:r>
        <w:t>исключений</w:t>
      </w:r>
      <w:r w:rsidRPr="0081645B">
        <w:t xml:space="preserve">, </w:t>
      </w:r>
      <w:r>
        <w:t>данная</w:t>
      </w:r>
      <w:r w:rsidRPr="0081645B">
        <w:t xml:space="preserve"> </w:t>
      </w:r>
      <w:r>
        <w:t xml:space="preserve">ограниченная гарантия распространяется на неисправности, вызванные дефектами в материале и изделии при нормальной эксплуатации и обслуживании в течение первых 12 месяцев </w:t>
      </w:r>
      <w:proofErr w:type="gramStart"/>
      <w:r>
        <w:t>с даты покупки</w:t>
      </w:r>
      <w:proofErr w:type="gramEnd"/>
      <w:r>
        <w:t xml:space="preserve"> первым розничным покупателем. </w:t>
      </w:r>
    </w:p>
    <w:p w:rsidR="00CD33E5" w:rsidRPr="00CD33E5" w:rsidRDefault="00CD33E5" w:rsidP="00CD33E5"/>
    <w:p w:rsidR="00CD33E5" w:rsidRPr="007614FD" w:rsidRDefault="00CD33E5" w:rsidP="00CD33E5">
      <w:proofErr w:type="gramStart"/>
      <w:r>
        <w:rPr>
          <w:lang w:val="en-US"/>
        </w:rPr>
        <w:t>b</w:t>
      </w:r>
      <w:proofErr w:type="gramEnd"/>
      <w:r w:rsidRPr="007614FD">
        <w:tab/>
      </w:r>
      <w:r>
        <w:t>Техника</w:t>
      </w:r>
    </w:p>
    <w:p w:rsidR="00CD33E5" w:rsidRPr="007614FD" w:rsidRDefault="00CD33E5" w:rsidP="00CD33E5">
      <w:pPr>
        <w:jc w:val="center"/>
        <w:rPr>
          <w:b/>
        </w:rPr>
      </w:pPr>
      <w:r>
        <w:rPr>
          <w:b/>
        </w:rPr>
        <w:t>СМАЗКА КАРТЕРА КОРОБКИ ПЕРЕДАЧ</w:t>
      </w:r>
    </w:p>
    <w:p w:rsidR="00CD33E5" w:rsidRPr="007614FD" w:rsidRDefault="00CD33E5" w:rsidP="00CD33E5">
      <w:pPr>
        <w:rPr>
          <w:b/>
        </w:rPr>
      </w:pPr>
    </w:p>
    <w:p w:rsidR="00CD33E5" w:rsidRPr="00455103" w:rsidRDefault="00CD33E5" w:rsidP="00CD33E5">
      <w:pPr>
        <w:ind w:left="720"/>
      </w:pPr>
      <w:r>
        <w:t>НЕ ИСПОЛЬЗОВАТЬ автомобильную смазку в картере коробки передач. Убрать</w:t>
      </w:r>
      <w:r w:rsidRPr="007614FD">
        <w:t xml:space="preserve"> </w:t>
      </w:r>
      <w:r>
        <w:t>заливную</w:t>
      </w:r>
      <w:r w:rsidRPr="007614FD">
        <w:t xml:space="preserve"> </w:t>
      </w:r>
      <w:r>
        <w:t>пробку</w:t>
      </w:r>
      <w:r w:rsidRPr="007614FD">
        <w:t xml:space="preserve"> </w:t>
      </w:r>
      <w:r>
        <w:t>и</w:t>
      </w:r>
      <w:r w:rsidRPr="007614FD">
        <w:t xml:space="preserve"> </w:t>
      </w:r>
      <w:r>
        <w:t>шайбу. Вставить</w:t>
      </w:r>
      <w:r w:rsidRPr="00455103">
        <w:t xml:space="preserve"> </w:t>
      </w:r>
      <w:r>
        <w:t>в</w:t>
      </w:r>
      <w:r w:rsidRPr="00455103">
        <w:t xml:space="preserve"> </w:t>
      </w:r>
      <w:r>
        <w:t>заливное</w:t>
      </w:r>
      <w:r w:rsidRPr="00455103">
        <w:t xml:space="preserve"> </w:t>
      </w:r>
      <w:r>
        <w:t>отверстие</w:t>
      </w:r>
      <w:r w:rsidRPr="00455103">
        <w:t xml:space="preserve"> </w:t>
      </w:r>
      <w:r>
        <w:t>трубку</w:t>
      </w:r>
      <w:r w:rsidRPr="00455103">
        <w:t xml:space="preserve"> </w:t>
      </w:r>
      <w:r>
        <w:t xml:space="preserve">для смазки. Удалить </w:t>
      </w:r>
      <w:proofErr w:type="spellStart"/>
      <w:r>
        <w:t>воздухоотводный</w:t>
      </w:r>
      <w:proofErr w:type="spellEnd"/>
      <w:r>
        <w:t xml:space="preserve"> винт и шайбу. Заливать</w:t>
      </w:r>
      <w:r w:rsidRPr="00455103">
        <w:t xml:space="preserve"> </w:t>
      </w:r>
      <w:r>
        <w:t>смазку</w:t>
      </w:r>
      <w:r w:rsidRPr="00455103">
        <w:t xml:space="preserve"> </w:t>
      </w:r>
      <w:r>
        <w:t>в</w:t>
      </w:r>
      <w:r w:rsidRPr="00455103">
        <w:t xml:space="preserve"> </w:t>
      </w:r>
      <w:r>
        <w:t>картер</w:t>
      </w:r>
      <w:r w:rsidRPr="00455103">
        <w:t xml:space="preserve"> </w:t>
      </w:r>
      <w:r>
        <w:t>коробки</w:t>
      </w:r>
      <w:r w:rsidRPr="00455103">
        <w:t xml:space="preserve"> </w:t>
      </w:r>
      <w:r>
        <w:t xml:space="preserve">передач до тех пор, пока избыток смазки не будет выходить из </w:t>
      </w:r>
      <w:proofErr w:type="spellStart"/>
      <w:r>
        <w:t>воздухоотводного</w:t>
      </w:r>
      <w:proofErr w:type="spellEnd"/>
      <w:r>
        <w:t xml:space="preserve"> отверстия.</w:t>
      </w:r>
    </w:p>
    <w:p w:rsidR="00CD33E5" w:rsidRPr="00455103" w:rsidRDefault="00CD33E5" w:rsidP="00CD33E5">
      <w:pPr>
        <w:ind w:left="720"/>
      </w:pPr>
      <w:r w:rsidRPr="00455103">
        <w:t xml:space="preserve">   </w:t>
      </w:r>
    </w:p>
    <w:p w:rsidR="00CD33E5" w:rsidRPr="00455103" w:rsidRDefault="00CD33E5" w:rsidP="00CD33E5">
      <w:proofErr w:type="gramStart"/>
      <w:r>
        <w:rPr>
          <w:lang w:val="en-US"/>
        </w:rPr>
        <w:t>c</w:t>
      </w:r>
      <w:proofErr w:type="gramEnd"/>
      <w:r w:rsidRPr="00CD33E5">
        <w:tab/>
      </w:r>
      <w:r>
        <w:t>Компьютер</w:t>
      </w:r>
    </w:p>
    <w:p w:rsidR="00CD33E5" w:rsidRPr="00CD33E5" w:rsidRDefault="00CD33E5" w:rsidP="00CD33E5"/>
    <w:p w:rsidR="00CD33E5" w:rsidRPr="00CD33E5" w:rsidRDefault="00CD33E5" w:rsidP="00CD33E5">
      <w:r>
        <w:tab/>
        <w:t>Вы конфигурируете, какие программы являются вашими главными программами управления (ГПУ</w:t>
      </w:r>
      <w:r w:rsidRPr="00455103">
        <w:t>)</w:t>
      </w:r>
      <w:r>
        <w:t xml:space="preserve"> на экране </w:t>
      </w:r>
      <w:r>
        <w:rPr>
          <w:b/>
        </w:rPr>
        <w:t>Конфигурация Процессора</w:t>
      </w:r>
      <w:r>
        <w:t xml:space="preserve"> путем определения номера программного файла и последовательности, в которой ГПУ должны работать. Данная конфигурация считывается перед выполнением ГПУ</w:t>
      </w:r>
      <w:r w:rsidRPr="00E35ECE">
        <w:t>;</w:t>
      </w:r>
      <w:r>
        <w:t xml:space="preserve"> если вы вносите изменение в конфигурацию экрана относительно ГПУ, это изменение влияет на следующее выполнение ГПУ. Вы также можете изменить информацию ГПУ посредством цепной логической схемы, манипулируя  статусным файлом. Тогда</w:t>
      </w:r>
      <w:r w:rsidRPr="00CD33E5">
        <w:t xml:space="preserve"> </w:t>
      </w:r>
      <w:r>
        <w:t>это</w:t>
      </w:r>
      <w:r w:rsidRPr="00CD33E5">
        <w:t xml:space="preserve"> </w:t>
      </w:r>
      <w:r>
        <w:t>изменение</w:t>
      </w:r>
      <w:r w:rsidRPr="00CD33E5">
        <w:t xml:space="preserve"> </w:t>
      </w:r>
      <w:r>
        <w:t>влияет</w:t>
      </w:r>
      <w:r w:rsidRPr="00CD33E5">
        <w:t xml:space="preserve"> </w:t>
      </w:r>
      <w:r>
        <w:t>на</w:t>
      </w:r>
      <w:r w:rsidRPr="00CD33E5">
        <w:t xml:space="preserve"> </w:t>
      </w:r>
      <w:r>
        <w:t>следующее</w:t>
      </w:r>
      <w:r w:rsidRPr="00CD33E5">
        <w:t xml:space="preserve"> </w:t>
      </w:r>
      <w:r>
        <w:t>выполнение</w:t>
      </w:r>
      <w:r w:rsidRPr="00CD33E5">
        <w:t xml:space="preserve"> </w:t>
      </w:r>
      <w:proofErr w:type="gramStart"/>
      <w:r>
        <w:t>такой</w:t>
      </w:r>
      <w:proofErr w:type="gramEnd"/>
      <w:r w:rsidRPr="00CD33E5">
        <w:t xml:space="preserve"> </w:t>
      </w:r>
      <w:r>
        <w:t>ГПУ</w:t>
      </w:r>
      <w:r w:rsidRPr="00CD33E5">
        <w:t>.</w:t>
      </w:r>
    </w:p>
    <w:p w:rsidR="00CD33E5" w:rsidRPr="00CD33E5" w:rsidRDefault="00CD33E5" w:rsidP="00CD33E5"/>
    <w:p w:rsidR="00CD33E5" w:rsidRPr="00634D70" w:rsidRDefault="00CD33E5" w:rsidP="00CD33E5">
      <w:pPr>
        <w:rPr>
          <w:b/>
        </w:rPr>
      </w:pPr>
      <w:r>
        <w:rPr>
          <w:b/>
        </w:rPr>
        <w:t>Таблица</w:t>
      </w:r>
      <w:r w:rsidRPr="00634D70">
        <w:rPr>
          <w:b/>
        </w:rPr>
        <w:t xml:space="preserve"> 19.</w:t>
      </w:r>
      <w:r>
        <w:rPr>
          <w:b/>
          <w:lang w:val="en-US"/>
        </w:rPr>
        <w:t>N</w:t>
      </w:r>
    </w:p>
    <w:p w:rsidR="00CD33E5" w:rsidRPr="00634D70" w:rsidRDefault="00CD33E5" w:rsidP="00CD33E5">
      <w:pPr>
        <w:rPr>
          <w:b/>
        </w:rPr>
      </w:pPr>
      <w:r>
        <w:rPr>
          <w:b/>
        </w:rPr>
        <w:t>Доступные задачи на экране Отчет Печати</w:t>
      </w:r>
      <w:r w:rsidRPr="00634D70">
        <w:rPr>
          <w:b/>
        </w:rPr>
        <w:t xml:space="preserve">    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88"/>
        <w:gridCol w:w="2610"/>
      </w:tblGrid>
      <w:tr w:rsidR="00CD33E5" w:rsidTr="005B215A">
        <w:tc>
          <w:tcPr>
            <w:tcW w:w="6588" w:type="dxa"/>
          </w:tcPr>
          <w:p w:rsidR="00CD33E5" w:rsidRDefault="00CD33E5" w:rsidP="005B215A">
            <w:pPr>
              <w:rPr>
                <w:b/>
                <w:lang w:val="en-US"/>
              </w:rPr>
            </w:pPr>
            <w:r>
              <w:rPr>
                <w:b/>
              </w:rPr>
              <w:t>Если вы хотите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2610" w:type="dxa"/>
          </w:tcPr>
          <w:p w:rsidR="00CD33E5" w:rsidRDefault="00CD33E5" w:rsidP="005B215A">
            <w:pPr>
              <w:rPr>
                <w:b/>
                <w:lang w:val="en-US"/>
              </w:rPr>
            </w:pPr>
            <w:r>
              <w:rPr>
                <w:b/>
              </w:rPr>
              <w:t>Нажать клавишу</w:t>
            </w:r>
            <w:r>
              <w:rPr>
                <w:b/>
                <w:lang w:val="en-US"/>
              </w:rPr>
              <w:t>:</w:t>
            </w:r>
          </w:p>
        </w:tc>
      </w:tr>
      <w:tr w:rsidR="00CD33E5" w:rsidTr="005B215A">
        <w:tc>
          <w:tcPr>
            <w:tcW w:w="6588" w:type="dxa"/>
          </w:tcPr>
          <w:p w:rsidR="00CD33E5" w:rsidRPr="00634D70" w:rsidRDefault="00CD33E5" w:rsidP="005B215A">
            <w:pPr>
              <w:rPr>
                <w:b/>
              </w:rPr>
            </w:pPr>
            <w:r>
              <w:t>Начать печать выбранных вами отчетов</w:t>
            </w:r>
          </w:p>
        </w:tc>
        <w:tc>
          <w:tcPr>
            <w:tcW w:w="2610" w:type="dxa"/>
          </w:tcPr>
          <w:p w:rsidR="00CD33E5" w:rsidRDefault="00CD33E5" w:rsidP="005B215A">
            <w:pPr>
              <w:rPr>
                <w:b/>
                <w:lang w:val="en-US"/>
              </w:rPr>
            </w:pPr>
            <w:r>
              <w:rPr>
                <w:lang w:val="en-US"/>
              </w:rPr>
              <w:t>[F1]-Print Files</w:t>
            </w:r>
          </w:p>
        </w:tc>
      </w:tr>
      <w:tr w:rsidR="00CD33E5" w:rsidTr="005B215A">
        <w:tc>
          <w:tcPr>
            <w:tcW w:w="6588" w:type="dxa"/>
          </w:tcPr>
          <w:p w:rsidR="00CD33E5" w:rsidRPr="00634D70" w:rsidRDefault="00CD33E5" w:rsidP="005B215A">
            <w:pPr>
              <w:rPr>
                <w:b/>
              </w:rPr>
            </w:pPr>
            <w:r>
              <w:t>Выбрать «печать всех отчетов» для текущего файла памяти процессора</w:t>
            </w:r>
          </w:p>
        </w:tc>
        <w:tc>
          <w:tcPr>
            <w:tcW w:w="2610" w:type="dxa"/>
          </w:tcPr>
          <w:p w:rsidR="00CD33E5" w:rsidRDefault="00CD33E5" w:rsidP="005B215A">
            <w:pPr>
              <w:rPr>
                <w:b/>
                <w:lang w:val="en-US"/>
              </w:rPr>
            </w:pPr>
            <w:r>
              <w:rPr>
                <w:lang w:val="en-US"/>
              </w:rPr>
              <w:t>[F2]-Select All</w:t>
            </w:r>
          </w:p>
        </w:tc>
      </w:tr>
      <w:tr w:rsidR="00CD33E5" w:rsidTr="005B215A">
        <w:tc>
          <w:tcPr>
            <w:tcW w:w="6588" w:type="dxa"/>
          </w:tcPr>
          <w:p w:rsidR="00CD33E5" w:rsidRPr="00787C98" w:rsidRDefault="00CD33E5" w:rsidP="005B215A">
            <w:pPr>
              <w:rPr>
                <w:b/>
              </w:rPr>
            </w:pPr>
            <w:r>
              <w:t>Переключиться на</w:t>
            </w:r>
            <w:r w:rsidRPr="006A5ABE">
              <w:t xml:space="preserve"> </w:t>
            </w:r>
            <w:r>
              <w:t>выбор или отсутствие печати текущего отчета</w:t>
            </w:r>
            <w:r w:rsidRPr="00787C98">
              <w:t xml:space="preserve"> </w:t>
            </w:r>
          </w:p>
        </w:tc>
        <w:tc>
          <w:tcPr>
            <w:tcW w:w="2610" w:type="dxa"/>
          </w:tcPr>
          <w:p w:rsidR="00CD33E5" w:rsidRDefault="00CD33E5" w:rsidP="005B215A">
            <w:pPr>
              <w:rPr>
                <w:b/>
                <w:lang w:val="en-US"/>
              </w:rPr>
            </w:pPr>
            <w:r>
              <w:rPr>
                <w:lang w:val="en-US"/>
              </w:rPr>
              <w:t>[F3]-Toggle Select</w:t>
            </w:r>
          </w:p>
        </w:tc>
      </w:tr>
      <w:tr w:rsidR="00CD33E5" w:rsidTr="005B215A">
        <w:tc>
          <w:tcPr>
            <w:tcW w:w="6588" w:type="dxa"/>
          </w:tcPr>
          <w:p w:rsidR="00CD33E5" w:rsidRDefault="00CD33E5" w:rsidP="005B215A">
            <w:pPr>
              <w:rPr>
                <w:b/>
                <w:lang w:val="en-US"/>
              </w:rPr>
            </w:pPr>
            <w:r>
              <w:t>Отменить все задания печати</w:t>
            </w:r>
          </w:p>
        </w:tc>
        <w:tc>
          <w:tcPr>
            <w:tcW w:w="2610" w:type="dxa"/>
          </w:tcPr>
          <w:p w:rsidR="00CD33E5" w:rsidRDefault="00CD33E5" w:rsidP="005B215A">
            <w:pPr>
              <w:rPr>
                <w:b/>
                <w:lang w:val="en-US"/>
              </w:rPr>
            </w:pPr>
            <w:r>
              <w:rPr>
                <w:lang w:val="en-US"/>
              </w:rPr>
              <w:t>[F4]-Clear All</w:t>
            </w:r>
          </w:p>
        </w:tc>
      </w:tr>
      <w:tr w:rsidR="00CD33E5" w:rsidTr="005B215A">
        <w:tc>
          <w:tcPr>
            <w:tcW w:w="6588" w:type="dxa"/>
          </w:tcPr>
          <w:p w:rsidR="00CD33E5" w:rsidRDefault="00CD33E5" w:rsidP="005B215A">
            <w:pPr>
              <w:rPr>
                <w:b/>
                <w:lang w:val="en-US"/>
              </w:rPr>
            </w:pPr>
            <w:r>
              <w:t>Конфигурировать параметры принтера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610" w:type="dxa"/>
          </w:tcPr>
          <w:p w:rsidR="00CD33E5" w:rsidRDefault="00CD33E5" w:rsidP="005B215A">
            <w:pPr>
              <w:rPr>
                <w:b/>
                <w:lang w:val="en-US"/>
              </w:rPr>
            </w:pPr>
            <w:r>
              <w:rPr>
                <w:lang w:val="en-US"/>
              </w:rPr>
              <w:t>[F5]-Printer Configuration</w:t>
            </w:r>
          </w:p>
        </w:tc>
      </w:tr>
      <w:tr w:rsidR="00CD33E5" w:rsidTr="005B215A">
        <w:tc>
          <w:tcPr>
            <w:tcW w:w="6588" w:type="dxa"/>
          </w:tcPr>
          <w:p w:rsidR="00CD33E5" w:rsidRPr="00B55B85" w:rsidRDefault="00CD33E5" w:rsidP="005B215A">
            <w:pPr>
              <w:rPr>
                <w:b/>
              </w:rPr>
            </w:pPr>
            <w:r>
              <w:t>Выбрать</w:t>
            </w:r>
            <w:r w:rsidRPr="00B55B85">
              <w:t xml:space="preserve"> </w:t>
            </w:r>
            <w:r>
              <w:t>другой</w:t>
            </w:r>
            <w:r w:rsidRPr="00B55B85">
              <w:t xml:space="preserve"> </w:t>
            </w:r>
            <w:r>
              <w:t>файл</w:t>
            </w:r>
            <w:r w:rsidRPr="00B55B85">
              <w:t xml:space="preserve"> </w:t>
            </w:r>
            <w:r>
              <w:t>памяти</w:t>
            </w:r>
            <w:r w:rsidRPr="00B55B85">
              <w:t xml:space="preserve"> </w:t>
            </w:r>
            <w:r>
              <w:t>процессора</w:t>
            </w:r>
            <w:r w:rsidRPr="00B55B85">
              <w:t xml:space="preserve"> </w:t>
            </w:r>
            <w:proofErr w:type="gramStart"/>
            <w:r>
              <w:t>текущим</w:t>
            </w:r>
            <w:proofErr w:type="gramEnd"/>
            <w:r w:rsidRPr="00B55B85">
              <w:t xml:space="preserve"> (</w:t>
            </w:r>
            <w:r>
              <w:t>переместить</w:t>
            </w:r>
            <w:r w:rsidRPr="00B55B85">
              <w:t xml:space="preserve"> </w:t>
            </w:r>
            <w:r>
              <w:t>курсор</w:t>
            </w:r>
            <w:r w:rsidRPr="00B55B85">
              <w:t xml:space="preserve"> </w:t>
            </w:r>
            <w:r>
              <w:t>к</w:t>
            </w:r>
            <w:r w:rsidRPr="00B55B85">
              <w:t xml:space="preserve"> </w:t>
            </w:r>
            <w:r>
              <w:t>нужному</w:t>
            </w:r>
            <w:r w:rsidRPr="00B55B85">
              <w:t xml:space="preserve"> </w:t>
            </w:r>
            <w:r>
              <w:t>файлу</w:t>
            </w:r>
            <w:r w:rsidRPr="00B55B85">
              <w:t xml:space="preserve"> </w:t>
            </w:r>
            <w:r>
              <w:t>и</w:t>
            </w:r>
            <w:r w:rsidRPr="00B55B85">
              <w:t xml:space="preserve"> </w:t>
            </w:r>
            <w:r>
              <w:t>нажать</w:t>
            </w:r>
            <w:r w:rsidRPr="00B55B85">
              <w:t xml:space="preserve"> </w:t>
            </w:r>
            <w:r>
              <w:t>клавишу</w:t>
            </w:r>
            <w:r w:rsidRPr="00B55B85">
              <w:t xml:space="preserve"> [</w:t>
            </w:r>
            <w:r>
              <w:rPr>
                <w:lang w:val="en-US"/>
              </w:rPr>
              <w:t>F</w:t>
            </w:r>
            <w:r w:rsidRPr="00B55B85">
              <w:t xml:space="preserve">3], </w:t>
            </w:r>
            <w:r>
              <w:t>если</w:t>
            </w:r>
            <w:r w:rsidRPr="00B55B85">
              <w:t xml:space="preserve"> </w:t>
            </w:r>
            <w:r>
              <w:t>вы</w:t>
            </w:r>
            <w:r w:rsidRPr="00B55B85">
              <w:t xml:space="preserve"> </w:t>
            </w:r>
            <w:r>
              <w:t>хотите</w:t>
            </w:r>
            <w:r w:rsidRPr="00B55B85">
              <w:t xml:space="preserve"> </w:t>
            </w:r>
            <w:r>
              <w:t>распечатать</w:t>
            </w:r>
            <w:r w:rsidRPr="00B55B85">
              <w:t xml:space="preserve"> </w:t>
            </w:r>
            <w:r>
              <w:t>отчеты</w:t>
            </w:r>
            <w:r w:rsidRPr="00B55B85">
              <w:t xml:space="preserve">, </w:t>
            </w:r>
            <w:r>
              <w:t>отличные</w:t>
            </w:r>
            <w:r w:rsidRPr="00B55B85">
              <w:t xml:space="preserve"> </w:t>
            </w:r>
            <w:r>
              <w:t>от</w:t>
            </w:r>
            <w:r w:rsidRPr="00B55B85">
              <w:t xml:space="preserve"> </w:t>
            </w:r>
            <w:r>
              <w:t>тех, которые вы только</w:t>
            </w:r>
            <w:r w:rsidRPr="00B55B85">
              <w:t xml:space="preserve"> </w:t>
            </w:r>
            <w:r>
              <w:t>что</w:t>
            </w:r>
            <w:r w:rsidRPr="00B55B85">
              <w:t xml:space="preserve"> </w:t>
            </w:r>
            <w:r>
              <w:t>выбрали</w:t>
            </w:r>
            <w:r w:rsidRPr="00B55B85">
              <w:t xml:space="preserve">) </w:t>
            </w:r>
          </w:p>
        </w:tc>
        <w:tc>
          <w:tcPr>
            <w:tcW w:w="2610" w:type="dxa"/>
          </w:tcPr>
          <w:p w:rsidR="00CD33E5" w:rsidRDefault="00CD33E5" w:rsidP="005B215A">
            <w:pPr>
              <w:rPr>
                <w:b/>
                <w:lang w:val="en-US"/>
              </w:rPr>
            </w:pPr>
            <w:r>
              <w:rPr>
                <w:lang w:val="en-US"/>
              </w:rPr>
              <w:t>[F6]-Select Processor</w:t>
            </w:r>
          </w:p>
        </w:tc>
      </w:tr>
      <w:tr w:rsidR="00CD33E5" w:rsidTr="005B215A">
        <w:tc>
          <w:tcPr>
            <w:tcW w:w="6588" w:type="dxa"/>
          </w:tcPr>
          <w:p w:rsidR="00CD33E5" w:rsidRPr="00CD33E5" w:rsidRDefault="00CD33E5" w:rsidP="005B215A">
            <w:pPr>
              <w:rPr>
                <w:b/>
              </w:rPr>
            </w:pPr>
            <w:r>
              <w:t>Просмотреть</w:t>
            </w:r>
            <w:r w:rsidRPr="00CD33E5">
              <w:t xml:space="preserve"> </w:t>
            </w:r>
            <w:r>
              <w:t>текущий</w:t>
            </w:r>
            <w:r w:rsidRPr="00CD33E5">
              <w:t xml:space="preserve"> </w:t>
            </w:r>
            <w:r>
              <w:t>отчет</w:t>
            </w:r>
            <w:r w:rsidRPr="00CD33E5">
              <w:t xml:space="preserve"> </w:t>
            </w:r>
            <w:r>
              <w:t>на</w:t>
            </w:r>
            <w:r w:rsidRPr="00CD33E5">
              <w:t xml:space="preserve"> </w:t>
            </w:r>
            <w:r>
              <w:t>экране</w:t>
            </w:r>
            <w:r w:rsidRPr="00CD33E5">
              <w:t xml:space="preserve"> </w:t>
            </w:r>
            <w:r>
              <w:t>без</w:t>
            </w:r>
            <w:r w:rsidRPr="00CD33E5">
              <w:t xml:space="preserve"> </w:t>
            </w:r>
            <w:r>
              <w:t>распечатки</w:t>
            </w:r>
            <w:r w:rsidRPr="00CD33E5">
              <w:t xml:space="preserve"> </w:t>
            </w:r>
            <w:r>
              <w:t>отчета</w:t>
            </w:r>
          </w:p>
        </w:tc>
        <w:tc>
          <w:tcPr>
            <w:tcW w:w="2610" w:type="dxa"/>
          </w:tcPr>
          <w:p w:rsidR="00CD33E5" w:rsidRDefault="00CD33E5" w:rsidP="005B215A">
            <w:pPr>
              <w:rPr>
                <w:b/>
                <w:lang w:val="en-US"/>
              </w:rPr>
            </w:pPr>
            <w:r>
              <w:rPr>
                <w:lang w:val="en-US"/>
              </w:rPr>
              <w:t>[F10]-View Files</w:t>
            </w:r>
          </w:p>
        </w:tc>
      </w:tr>
    </w:tbl>
    <w:p w:rsidR="00CD33E5" w:rsidRDefault="00CD33E5" w:rsidP="00CD33E5">
      <w:pPr>
        <w:rPr>
          <w:b/>
          <w:lang w:val="en-US"/>
        </w:rPr>
      </w:pPr>
    </w:p>
    <w:p w:rsidR="00CD33E5" w:rsidRPr="00B55B85" w:rsidRDefault="00CD33E5" w:rsidP="00CD33E5">
      <w:proofErr w:type="gramStart"/>
      <w:r>
        <w:rPr>
          <w:lang w:val="en-US"/>
        </w:rPr>
        <w:t>d</w:t>
      </w:r>
      <w:proofErr w:type="gramEnd"/>
      <w:r w:rsidRPr="00CD33E5">
        <w:tab/>
      </w:r>
      <w:r>
        <w:t>Реклама</w:t>
      </w:r>
    </w:p>
    <w:p w:rsidR="00CD33E5" w:rsidRPr="00CD33E5" w:rsidRDefault="00CD33E5" w:rsidP="00CD33E5"/>
    <w:p w:rsidR="00CD33E5" w:rsidRPr="00053F77" w:rsidRDefault="00CD33E5" w:rsidP="00CD33E5">
      <w:r>
        <w:t xml:space="preserve">Думаете ли вы о безмятежном круизе вдоль живописного побережья, бодрящем лыжном дне на искрящейся равнине, непринужденной вечерней рыбалке вместе с семьей или о ночи, проведенной под небом, залитым лунным светом, вы не найдете более универсальной серии спортивных лодок, чем модели 1992 фирмы  </w:t>
      </w:r>
      <w:r>
        <w:rPr>
          <w:lang w:val="en-US"/>
        </w:rPr>
        <w:t>Sea</w:t>
      </w:r>
      <w:r w:rsidRPr="00F20AD9">
        <w:t xml:space="preserve"> </w:t>
      </w:r>
      <w:r>
        <w:rPr>
          <w:lang w:val="en-US"/>
        </w:rPr>
        <w:t>Ray</w:t>
      </w:r>
      <w:r>
        <w:rPr>
          <w:lang w:val="en-US"/>
        </w:rPr>
        <w:sym w:font="Symbol" w:char="F0D2"/>
      </w:r>
      <w:r w:rsidRPr="00F20AD9">
        <w:t>.</w:t>
      </w:r>
      <w:r>
        <w:t xml:space="preserve"> Каждая спортивная лодка фирмы </w:t>
      </w:r>
      <w:r>
        <w:rPr>
          <w:lang w:val="en-US"/>
        </w:rPr>
        <w:t>Sea</w:t>
      </w:r>
      <w:r w:rsidRPr="00F20AD9">
        <w:t xml:space="preserve"> </w:t>
      </w:r>
      <w:r>
        <w:rPr>
          <w:lang w:val="en-US"/>
        </w:rPr>
        <w:t>Ray</w:t>
      </w:r>
      <w:r>
        <w:rPr>
          <w:lang w:val="en-US"/>
        </w:rPr>
        <w:sym w:font="Symbol" w:char="F0D2"/>
      </w:r>
      <w:r>
        <w:t>, в отличи</w:t>
      </w:r>
      <w:proofErr w:type="gramStart"/>
      <w:r>
        <w:t>и</w:t>
      </w:r>
      <w:proofErr w:type="gramEnd"/>
      <w:r>
        <w:t xml:space="preserve"> от любой другой, имеет аккуратную и продуманную конструкцию, </w:t>
      </w:r>
      <w:proofErr w:type="gramStart"/>
      <w:r>
        <w:t>подходящую</w:t>
      </w:r>
      <w:proofErr w:type="gramEnd"/>
      <w:r>
        <w:t xml:space="preserve"> для самых разных видов отдыха с максимально-возможным комфортом.  Все модели размерно-ценового ряда созданы, чтобы удовлетворить требованиям тех, кто покупает в первый раз, равно как и тех, кто давно занимается лодочным спортом. Однажды шагнув на борт любой из спортивных лодок модели 1992, вы почувствуете качество и мастерство, сделавшие фирму </w:t>
      </w:r>
      <w:r>
        <w:rPr>
          <w:lang w:val="en-US"/>
        </w:rPr>
        <w:t>Sea</w:t>
      </w:r>
      <w:r w:rsidRPr="00053F77">
        <w:t xml:space="preserve"> </w:t>
      </w:r>
      <w:r>
        <w:rPr>
          <w:lang w:val="en-US"/>
        </w:rPr>
        <w:t>Ray</w:t>
      </w:r>
      <w:r>
        <w:t xml:space="preserve"> золотым стандартом в производстве спортивных лодок.</w:t>
      </w:r>
    </w:p>
    <w:p w:rsidR="00CD33E5" w:rsidRPr="00053F77" w:rsidRDefault="00CD33E5" w:rsidP="00CD33E5"/>
    <w:p w:rsidR="00CD33E5" w:rsidRPr="00CD33E5" w:rsidRDefault="00CD33E5" w:rsidP="00CD33E5">
      <w:proofErr w:type="gramStart"/>
      <w:r>
        <w:rPr>
          <w:lang w:val="en-US"/>
        </w:rPr>
        <w:t>e</w:t>
      </w:r>
      <w:proofErr w:type="gramEnd"/>
      <w:r w:rsidRPr="00CD33E5">
        <w:tab/>
      </w:r>
      <w:r>
        <w:t>Медицина</w:t>
      </w:r>
    </w:p>
    <w:p w:rsidR="00CD33E5" w:rsidRPr="00CD33E5" w:rsidRDefault="00CD33E5" w:rsidP="00CD33E5"/>
    <w:p w:rsidR="00CD33E5" w:rsidRPr="00C44DC2" w:rsidRDefault="00CD33E5" w:rsidP="00CD33E5">
      <w:pPr>
        <w:rPr>
          <w:b/>
        </w:rPr>
      </w:pPr>
      <w:r>
        <w:t>Данное</w:t>
      </w:r>
      <w:r w:rsidRPr="00E055F8">
        <w:t xml:space="preserve"> </w:t>
      </w:r>
      <w:r>
        <w:t>устройство</w:t>
      </w:r>
      <w:r w:rsidRPr="00E055F8">
        <w:t xml:space="preserve"> </w:t>
      </w:r>
      <w:r>
        <w:t>- специального</w:t>
      </w:r>
      <w:r w:rsidRPr="00E055F8">
        <w:t xml:space="preserve"> </w:t>
      </w:r>
      <w:r>
        <w:t>назначения и предназначено для введения контрастного вещества человеку и животным при диагностических обследованиях. Не</w:t>
      </w:r>
      <w:r w:rsidRPr="001D5EE8">
        <w:t xml:space="preserve"> </w:t>
      </w:r>
      <w:r>
        <w:t>пытаться</w:t>
      </w:r>
      <w:r w:rsidRPr="001D5EE8">
        <w:t xml:space="preserve"> </w:t>
      </w:r>
      <w:r>
        <w:t>использовать</w:t>
      </w:r>
      <w:r w:rsidRPr="001D5EE8">
        <w:t xml:space="preserve"> </w:t>
      </w:r>
      <w:r>
        <w:t>инъекционные устройства</w:t>
      </w:r>
      <w:r w:rsidRPr="001D5EE8">
        <w:t xml:space="preserve"> </w:t>
      </w:r>
      <w:r>
        <w:t>с</w:t>
      </w:r>
      <w:r w:rsidRPr="001D5EE8">
        <w:t xml:space="preserve"> </w:t>
      </w:r>
      <w:r>
        <w:t>иной</w:t>
      </w:r>
      <w:r w:rsidRPr="001D5EE8">
        <w:t xml:space="preserve"> </w:t>
      </w:r>
      <w:r>
        <w:t>целью</w:t>
      </w:r>
      <w:r w:rsidRPr="001D5EE8">
        <w:t xml:space="preserve">, </w:t>
      </w:r>
      <w:r>
        <w:t>например</w:t>
      </w:r>
      <w:r w:rsidRPr="001D5EE8">
        <w:t xml:space="preserve"> </w:t>
      </w:r>
      <w:r>
        <w:t>для</w:t>
      </w:r>
      <w:r w:rsidRPr="001D5EE8">
        <w:t xml:space="preserve"> </w:t>
      </w:r>
      <w:r>
        <w:t>химиотерапии</w:t>
      </w:r>
      <w:r w:rsidRPr="001D5EE8">
        <w:t xml:space="preserve"> </w:t>
      </w:r>
      <w:r>
        <w:t>или</w:t>
      </w:r>
      <w:r w:rsidRPr="001D5EE8">
        <w:t xml:space="preserve"> </w:t>
      </w:r>
      <w:r>
        <w:t xml:space="preserve">введения медикаментов. Во избежание введения воздуха и развития воздушной эмболии, </w:t>
      </w:r>
      <w:proofErr w:type="gramStart"/>
      <w:r>
        <w:t>производящему</w:t>
      </w:r>
      <w:proofErr w:type="gramEnd"/>
      <w:r>
        <w:t xml:space="preserve"> инъекцию важно проявлять бдительность</w:t>
      </w:r>
      <w:r w:rsidRPr="00326AD6">
        <w:t xml:space="preserve"> </w:t>
      </w:r>
      <w:r>
        <w:t>и</w:t>
      </w:r>
      <w:r w:rsidRPr="00326AD6">
        <w:t xml:space="preserve"> </w:t>
      </w:r>
      <w:r>
        <w:t>внимание с соблюдением методики. Перед</w:t>
      </w:r>
      <w:r w:rsidRPr="00C44DC2">
        <w:t xml:space="preserve"> </w:t>
      </w:r>
      <w:r>
        <w:t>инъекцией</w:t>
      </w:r>
      <w:r w:rsidRPr="00C44DC2">
        <w:t xml:space="preserve"> </w:t>
      </w:r>
      <w:r>
        <w:t>убедиться</w:t>
      </w:r>
      <w:r w:rsidRPr="00C44DC2">
        <w:t xml:space="preserve"> </w:t>
      </w:r>
      <w:r>
        <w:t>в</w:t>
      </w:r>
      <w:r w:rsidRPr="00C44DC2">
        <w:t xml:space="preserve"> </w:t>
      </w:r>
      <w:r>
        <w:t>отсутствии воздушного пузыря в шприце, соединительных трубках и катетере.</w:t>
      </w:r>
    </w:p>
    <w:p w:rsidR="003C52D3" w:rsidRDefault="003C52D3"/>
    <w:sectPr w:rsidR="003C52D3" w:rsidSect="003C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3E5"/>
    <w:rsid w:val="003C52D3"/>
    <w:rsid w:val="00CD33E5"/>
    <w:rsid w:val="00CE5718"/>
    <w:rsid w:val="00E324D7"/>
    <w:rsid w:val="00F5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2822</Characters>
  <Application>Microsoft Office Word</Application>
  <DocSecurity>0</DocSecurity>
  <Lines>23</Lines>
  <Paragraphs>6</Paragraphs>
  <ScaleCrop>false</ScaleCrop>
  <Company>Krokoz™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vssosh36</dc:creator>
  <cp:lastModifiedBy>Gildiyaperevod</cp:lastModifiedBy>
  <cp:revision>2</cp:revision>
  <dcterms:created xsi:type="dcterms:W3CDTF">2013-10-28T07:02:00Z</dcterms:created>
  <dcterms:modified xsi:type="dcterms:W3CDTF">2013-10-28T07:02:00Z</dcterms:modified>
</cp:coreProperties>
</file>